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pPr>
      <w:r>
        <w:rPr>
          <w:rFonts w:ascii="Arial" w:hAnsi="Arial"/>
          <w:b w:val="0"/>
          <w:rtl/>
        </w:rPr>
        <w:t>سياسة الخصوصية البيانات والاستخدام</w:t>
      </w:r>
    </w:p>
    <w:p>
      <w:pPr>
        <w:pStyle w:val="Heading1"/>
        <w:jc w:val="left"/>
      </w:pPr>
      <w:r>
        <w:rPr>
          <w:rFonts w:ascii="Arial" w:hAnsi="Arial"/>
          <w:b w:val="0"/>
        </w:rPr>
        <w:t>Privacy Policy Data and Use</w:t>
      </w: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Controller and contact</w:t>
            </w:r>
          </w:p>
          <w:p>
            <w:pPr>
              <w:jc w:val="left"/>
            </w:pPr>
            <w:r>
              <w:rPr>
                <w:rFonts w:ascii="Arial" w:hAnsi="Arial"/>
                <w:b w:val="0"/>
              </w:rPr>
              <w:t>The controller for platform operational data is Yahya A Alzahrani, owner of the HSSE platform. The approved privacy contact is privacy@yahya-hsse.com.</w:t>
            </w:r>
          </w:p>
        </w:tc>
        <w:tc>
          <w:tcPr>
            <w:tcW w:type="dxa" w:w="5184"/>
          </w:tcPr>
          <w:p>
            <w:pPr>
              <w:jc w:val="right"/>
              <w:bidi/>
            </w:pPr>
            <w:r>
              <w:rPr>
                <w:rFonts w:ascii="Arial" w:hAnsi="Arial"/>
                <w:b/>
                <w:rtl/>
              </w:rPr>
              <w:t>جهة التحكم والتواصل</w:t>
            </w:r>
          </w:p>
          <w:p>
            <w:pPr>
              <w:jc w:val="right"/>
              <w:bidi/>
            </w:pPr>
            <w:r>
              <w:rPr>
                <w:rFonts w:ascii="Arial" w:hAnsi="Arial"/>
                <w:b w:val="0"/>
                <w:rtl/>
              </w:rPr>
              <w:t>جهة التحكم في بيانات تشغيل المنصة هي Yahya A Alzahrani، مالك منصة HSSE. البريد المعتمد لطلبات الخصوصية: privacy@yahya-hsse.com.</w:t>
            </w:r>
          </w:p>
        </w:tc>
      </w:tr>
    </w:tbl>
    <w:p>
      <w:pPr>
        <w:spacing w:after="0"/>
      </w:pP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Data and sources</w:t>
            </w:r>
          </w:p>
          <w:p>
            <w:pPr>
              <w:jc w:val="left"/>
            </w:pPr>
            <w:r>
              <w:rPr>
                <w:rFonts w:ascii="Arial" w:hAnsi="Arial"/>
                <w:b w:val="0"/>
              </w:rPr>
              <w:t>Account data includes name, username, email, roles and permissions. You or your administrator may provide assessments, operations plans, documents, images and logos. Operational data includes login and action records, messages, sending status and essential session cookies; provider logs may contain IP addresses and request metadata. Do not provide mailbox passwords or unnecessary sensitive information.</w:t>
            </w:r>
          </w:p>
        </w:tc>
        <w:tc>
          <w:tcPr>
            <w:tcW w:type="dxa" w:w="5184"/>
          </w:tcPr>
          <w:p>
            <w:pPr>
              <w:jc w:val="right"/>
              <w:bidi/>
            </w:pPr>
            <w:r>
              <w:rPr>
                <w:rFonts w:ascii="Arial" w:hAnsi="Arial"/>
                <w:b/>
                <w:rtl/>
              </w:rPr>
              <w:t>البيانات ومصادرها</w:t>
            </w:r>
          </w:p>
          <w:p>
            <w:pPr>
              <w:jc w:val="right"/>
              <w:bidi/>
            </w:pPr>
            <w:r>
              <w:rPr>
                <w:rFonts w:ascii="Arial" w:hAnsi="Arial"/>
                <w:b w:val="0"/>
                <w:rtl/>
              </w:rPr>
              <w:t>تشمل بيانات الحساب الاسم واسم المستخدم والبريد والأدوار والصلاحيات، والبيانات التي تدخلها أنت أو مسؤول حسابك في التقييمات وخطط التشغيل والوثائق والصور والشعارات. وتشمل بيانات التشغيل سجلات الدخول والإجراءات والمراسلات وحالات الإرسال وملفات الجلسة الضرورية؛ قد تحتوي سجلات مزودي الخدمة على عنوان الشبكة وبيانات الطلب. لا تدخل كلمات مرور بريدك أو بيانات حساسة غير لازمة.</w:t>
            </w:r>
          </w:p>
        </w:tc>
      </w:tr>
    </w:tbl>
    <w:p>
      <w:pPr>
        <w:spacing w:after="0"/>
      </w:pP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Purposes and legal basis</w:t>
            </w:r>
          </w:p>
          <w:p>
            <w:pPr>
              <w:jc w:val="left"/>
            </w:pPr>
            <w:r>
              <w:rPr>
                <w:rFonts w:ascii="Arial" w:hAnsi="Arial"/>
                <w:b w:val="0"/>
              </w:rPr>
              <w:t>Data supports accounts, authentication, permissions, preparation, review, approval, report exports, operational messages, account recovery and service protection. Necessary service processing is proposed to rely on the service agreement; the basis for security processing must be documented under applicable law. Additional uses require specific purposes and legal bases. Health, incident and security information may be sensitive and requires appropriate safeguards.</w:t>
            </w:r>
          </w:p>
        </w:tc>
        <w:tc>
          <w:tcPr>
            <w:tcW w:type="dxa" w:w="5184"/>
          </w:tcPr>
          <w:p>
            <w:pPr>
              <w:jc w:val="right"/>
              <w:bidi/>
            </w:pPr>
            <w:r>
              <w:rPr>
                <w:rFonts w:ascii="Arial" w:hAnsi="Arial"/>
                <w:b/>
                <w:rtl/>
              </w:rPr>
              <w:t>الأغراض والأساس النظامي</w:t>
            </w:r>
          </w:p>
          <w:p>
            <w:pPr>
              <w:jc w:val="right"/>
              <w:bidi/>
            </w:pPr>
            <w:r>
              <w:rPr>
                <w:rFonts w:ascii="Arial" w:hAnsi="Arial"/>
                <w:b w:val="0"/>
                <w:rtl/>
              </w:rPr>
              <w:t>تُستخدم البيانات لإتاحة الحساب والتحقق من الهوية وتنفيذ الصلاحيات وإعداد الأعمال ومراجعتها واعتمادها وتصدير التقارير وإرسال الرسائل التشغيلية واستعادة الحساب وحماية الخدمة. يقترح أن تستند المعالجة اللازمة لتقديم الخدمة إلى اتفاق استخدامها، وأن يوثق أساس حماية الخدمة وفق النظام المنطبق. كل استخدام إضافي يحتاج غرضًا وأساسًا محددين؛ بيانات الصحة والحوادث والأمن قد تكون حساسة وتحتاج ضوابط مناسبة قبل استخدامها.</w:t>
            </w:r>
          </w:p>
        </w:tc>
      </w:tr>
    </w:tbl>
    <w:p>
      <w:pPr>
        <w:spacing w:after="0"/>
      </w:pP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Required and optional data</w:t>
            </w:r>
          </w:p>
          <w:p>
            <w:pPr>
              <w:jc w:val="left"/>
            </w:pPr>
            <w:r>
              <w:rPr>
                <w:rFonts w:ascii="Arial" w:hAnsi="Arial"/>
                <w:b w:val="0"/>
              </w:rPr>
              <w:t>Login information and permissions are required to provide an account. Logos and fields not marked required are optional; some assessment fields are required for submission. Acknowledging the privacy notice is not blanket authorization or marketing consent. Marketing subscription must be separate, optional and withdrawable without disabling the core service.</w:t>
            </w:r>
          </w:p>
        </w:tc>
        <w:tc>
          <w:tcPr>
            <w:tcW w:type="dxa" w:w="5184"/>
          </w:tcPr>
          <w:p>
            <w:pPr>
              <w:jc w:val="right"/>
              <w:bidi/>
            </w:pPr>
            <w:r>
              <w:rPr>
                <w:rFonts w:ascii="Arial" w:hAnsi="Arial"/>
                <w:b/>
                <w:rtl/>
              </w:rPr>
              <w:t>الإلزام والاختيار</w:t>
            </w:r>
          </w:p>
          <w:p>
            <w:pPr>
              <w:jc w:val="right"/>
              <w:bidi/>
            </w:pPr>
            <w:r>
              <w:rPr>
                <w:rFonts w:ascii="Arial" w:hAnsi="Arial"/>
                <w:b w:val="0"/>
                <w:rtl/>
              </w:rPr>
              <w:t>بيانات الدخول والصلاحيات لازمة لإتاحة الحساب. الشعارات والمعلومات غير المطلوبة في النموذج اختيارية؛ بعض حقول التقييم لازمة لإرساله للاعتماد. الاطلاع على إشعار الخصوصية ليس تفويضًا عامًا ولا موافقة تسويقية. الاشتراك في التسويق يكون منفصلًا واختياريًا وقابلًا للإلغاء دون تعطيل الخدمة الأساسية.</w:t>
            </w:r>
          </w:p>
        </w:tc>
      </w:tr>
    </w:tbl>
    <w:p>
      <w:pPr>
        <w:spacing w:after="0"/>
      </w:pPr>
    </w:p>
    <w:p>
      <w:r>
        <w:br w:type="page"/>
      </w:r>
    </w:p>
    <w:p>
      <w:pPr>
        <w:pStyle w:val="Title"/>
        <w:jc w:val="right"/>
        <w:bidi/>
      </w:pPr>
      <w:r>
        <w:rPr>
          <w:rFonts w:ascii="Arial" w:hAnsi="Arial"/>
          <w:b w:val="0"/>
          <w:rtl/>
        </w:rPr>
        <w:t>سياسة الخصوصية المشاركة والحقوق</w:t>
      </w:r>
    </w:p>
    <w:p>
      <w:pPr>
        <w:pStyle w:val="Heading1"/>
        <w:jc w:val="left"/>
      </w:pPr>
      <w:r>
        <w:rPr>
          <w:rFonts w:ascii="Arial" w:hAnsi="Arial"/>
          <w:b w:val="0"/>
        </w:rPr>
        <w:t>Privacy Policy Sharing and Rights</w:t>
      </w: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Sharing and access</w:t>
            </w:r>
          </w:p>
          <w:p>
            <w:pPr>
              <w:jc w:val="left"/>
            </w:pPr>
            <w:r>
              <w:rPr>
                <w:rFonts w:ascii="Arial" w:hAnsi="Arial"/>
                <w:b w:val="0"/>
              </w:rPr>
              <w:t>Records are accessible to authorized users according to account, group and module permissions. Data is shared to the extent necessary to provide and protect the service and comply with legal requirements. Processing purposes, data protection safeguards and applicable transfer requirements are addressed under applicable law.</w:t>
            </w:r>
          </w:p>
        </w:tc>
        <w:tc>
          <w:tcPr>
            <w:tcW w:type="dxa" w:w="5184"/>
          </w:tcPr>
          <w:p>
            <w:pPr>
              <w:jc w:val="right"/>
              <w:bidi/>
            </w:pPr>
            <w:r>
              <w:rPr>
                <w:rFonts w:ascii="Arial" w:hAnsi="Arial"/>
                <w:b/>
                <w:rtl/>
              </w:rPr>
              <w:t>المشاركة والوصول</w:t>
            </w:r>
          </w:p>
          <w:p>
            <w:pPr>
              <w:jc w:val="right"/>
              <w:bidi/>
            </w:pPr>
            <w:r>
              <w:rPr>
                <w:rFonts w:ascii="Arial" w:hAnsi="Arial"/>
                <w:b w:val="0"/>
                <w:rtl/>
              </w:rPr>
              <w:t>تتاح السجلات للمستخدمين المخولين بحسب الحساب والمجموعة والنظام، وتُشارك البيانات بالقدر اللازم لتقديم الخدمة وحمايتها وتنفيذ المتطلبات النظامية. يُراعى تحديد أغراض المعالجة وضمانات حماية البيانات ومتطلبات نقلها وفق النظام المنطبق.</w:t>
            </w:r>
          </w:p>
        </w:tc>
      </w:tr>
    </w:tbl>
    <w:p>
      <w:pPr>
        <w:spacing w:after="0"/>
      </w:pP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Retention and protection</w:t>
            </w:r>
          </w:p>
          <w:p>
            <w:pPr>
              <w:jc w:val="left"/>
            </w:pPr>
            <w:r>
              <w:rPr>
                <w:rFonts w:ascii="Arial" w:hAnsi="Arial"/>
                <w:b w:val="0"/>
              </w:rPr>
              <w:t>Necessary data is retained while providing the service. Data whose purpose has ended is destroyed without delay unless a legal requirement or ongoing dispute requires retention. Retention for each category follows its purpose and legal basis. Operational review proposals only: up to 30 days to complete account closure procedures; 30 days for security logs only while actually needed; and a 7 day rolling backup cycle after implementation feasibility is confirmed. Minimal acceptance evidence is retained while using the service and only as needed to establish rights; necessity is reviewed at closure. These are administrative targets requiring approval and implementation, not active automatic deletion or permission to postpone destruction when the purpose has ended.</w:t>
            </w:r>
          </w:p>
        </w:tc>
        <w:tc>
          <w:tcPr>
            <w:tcW w:type="dxa" w:w="5184"/>
          </w:tcPr>
          <w:p>
            <w:pPr>
              <w:jc w:val="right"/>
              <w:bidi/>
            </w:pPr>
            <w:r>
              <w:rPr>
                <w:rFonts w:ascii="Arial" w:hAnsi="Arial"/>
                <w:b/>
                <w:rtl/>
              </w:rPr>
              <w:t>الاحتفاظ والحماية</w:t>
            </w:r>
          </w:p>
          <w:p>
            <w:pPr>
              <w:jc w:val="right"/>
              <w:bidi/>
            </w:pPr>
            <w:r>
              <w:rPr>
                <w:rFonts w:ascii="Arial" w:hAnsi="Arial"/>
                <w:b w:val="0"/>
                <w:rtl/>
              </w:rPr>
              <w:t>نحتفظ بالبيانات اللازمة أثناء تقديم الخدمة، ونتلف ما انتهى غرضه دون تأخير ما لم يوجب النظام أو نزاع قائم الاحتفاظ به. تُحدد مدة الاحتفاظ لكل فئة وفق غرضها ومسوغها. للمراجعة التشغيلية فقط: تقترح مدة قصوى 30 يومًا لاستكمال إغلاق الحساب وإجراءاته، و30 يومًا لسجلات الأمان عند استمرار الحاجة الفعلية إليها، و7 أيام لدورة النسخ الاحتياطية بعد تأكيد إمكان تنفيذها. تُحفظ إثباتات الموافقة بالحد الأدنى أثناء استخدام الخدمة وما يلزم لإثبات الحقوق فقط، وتُراجع ضرورتها عند الإغلاق. هذه المدد أهداف إدارية تحتاج اعتمادًا وتنفيذًا؛ لا تعني وجود حذف آلي للبيانات أو جواز تأخير إتلاف ما انتهى غرضه.</w:t>
            </w:r>
          </w:p>
        </w:tc>
      </w:tr>
    </w:tbl>
    <w:p>
      <w:pPr>
        <w:spacing w:after="0"/>
      </w:pP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Your rights and requests</w:t>
            </w:r>
          </w:p>
          <w:p>
            <w:pPr>
              <w:jc w:val="left"/>
            </w:pPr>
            <w:r>
              <w:rPr>
                <w:rFonts w:ascii="Arial" w:hAnsi="Arial"/>
                <w:b w:val="0"/>
              </w:rPr>
              <w:t>You may request information about processing, access and a readable copy, correction and completion, and destruction when the purpose ends, subject to applicable law. You may withdraw consent where it is the processing basis and complain to the competent authority. Requests use the approved privacy channel with appropriate identity checks, considering others’ rights and retention requirements. A proposed operational response target is 30 days, with reasons for any legally permitted extension.</w:t>
            </w:r>
          </w:p>
        </w:tc>
        <w:tc>
          <w:tcPr>
            <w:tcW w:type="dxa" w:w="5184"/>
          </w:tcPr>
          <w:p>
            <w:pPr>
              <w:jc w:val="right"/>
              <w:bidi/>
            </w:pPr>
            <w:r>
              <w:rPr>
                <w:rFonts w:ascii="Arial" w:hAnsi="Arial"/>
                <w:b/>
                <w:rtl/>
              </w:rPr>
              <w:t>حقوقك وطلباتها</w:t>
            </w:r>
          </w:p>
          <w:p>
            <w:pPr>
              <w:jc w:val="right"/>
              <w:bidi/>
            </w:pPr>
            <w:r>
              <w:rPr>
                <w:rFonts w:ascii="Arial" w:hAnsi="Arial"/>
                <w:b w:val="0"/>
                <w:rtl/>
              </w:rPr>
              <w:t>يمكنك طلب معرفة المعالجة والاطلاع على بياناتك ونسخة مقروءة منها وتصحيحها واستكمالها وإتلافها حين ينتهي غرضها وفق النظام، وسحب الموافقة عندما تكون أساس المعالجة، وتقديم شكوى إلى الجهة المختصة. تُستقبل الطلبات عبر قناة الخصوصية المعتمدة بعد التحقق المناسب من الهوية؛ يراعى حق الآخرين ومتطلبات الاحتفاظ. المقترح التشغيلي الرد خلال 30 يومًا مع بيان سبب أي تمديد يسمح به النظام.</w:t>
            </w:r>
          </w:p>
        </w:tc>
      </w:tr>
    </w:tbl>
    <w:p>
      <w:pPr>
        <w:spacing w:after="0"/>
      </w:pP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Privacy requests contact</w:t>
            </w:r>
          </w:p>
          <w:p>
            <w:pPr>
              <w:jc w:val="left"/>
            </w:pPr>
            <w:r>
              <w:rPr>
                <w:rFonts w:ascii="Arial" w:hAnsi="Arial"/>
                <w:b w:val="0"/>
              </w:rPr>
              <w:t>Privacy and data-related requests are received at privacy@yahya-hsse.com. This contact is available before sign-in or registration. Do not send passwords or access keys; appropriate identity verification may be required to process a request.</w:t>
            </w:r>
          </w:p>
        </w:tc>
        <w:tc>
          <w:tcPr>
            <w:tcW w:type="dxa" w:w="5184"/>
          </w:tcPr>
          <w:p>
            <w:pPr>
              <w:jc w:val="right"/>
              <w:bidi/>
            </w:pPr>
            <w:r>
              <w:rPr>
                <w:rFonts w:ascii="Arial" w:hAnsi="Arial"/>
                <w:b/>
                <w:rtl/>
              </w:rPr>
              <w:t>قناة طلبات الخصوصية</w:t>
            </w:r>
          </w:p>
          <w:p>
            <w:pPr>
              <w:jc w:val="right"/>
              <w:bidi/>
            </w:pPr>
            <w:r>
              <w:rPr>
                <w:rFonts w:ascii="Arial" w:hAnsi="Arial"/>
                <w:b w:val="0"/>
                <w:rtl/>
              </w:rPr>
              <w:t>تُستقبل طلبات الخصوصية والاستفسارات المتعلقة بالبيانات عبر البريد privacy@yahya-hsse.com. هذه القناة متاحة قبل الدخول والتسجيل. لا ترسل كلمة مرورك أو مفاتيح الدخول، ويُطلب ما يلزم للتحقق من الهوية عند معالجة الطلب.</w:t>
            </w:r>
          </w:p>
        </w:tc>
      </w:tr>
    </w:tbl>
    <w:p>
      <w:pPr>
        <w:spacing w:after="0"/>
      </w:pPr>
    </w:p>
    <w:p>
      <w:r>
        <w:br w:type="page"/>
      </w:r>
    </w:p>
    <w:p>
      <w:pPr>
        <w:pStyle w:val="Title"/>
        <w:jc w:val="right"/>
        <w:bidi/>
      </w:pPr>
      <w:r>
        <w:rPr>
          <w:rFonts w:ascii="Arial" w:hAnsi="Arial"/>
          <w:b w:val="0"/>
          <w:rtl/>
        </w:rPr>
        <w:t>شروط الاستخدام وحقوق الملكية</w:t>
      </w:r>
    </w:p>
    <w:p>
      <w:pPr>
        <w:pStyle w:val="Heading1"/>
        <w:jc w:val="left"/>
      </w:pPr>
      <w:r>
        <w:rPr>
          <w:rFonts w:ascii="Arial" w:hAnsi="Arial"/>
          <w:b w:val="0"/>
        </w:rPr>
        <w:t>Terms of Use and Ownership</w:t>
      </w: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Platform and user rights</w:t>
            </w:r>
          </w:p>
          <w:p>
            <w:pPr>
              <w:jc w:val="left"/>
            </w:pPr>
            <w:r>
              <w:rPr>
                <w:rFonts w:ascii="Arial" w:hAnsi="Arial"/>
                <w:b w:val="0"/>
              </w:rPr>
              <w:t>Rights in original platform elements owned by the proprietor, including code, design, original content, templates and identity, are reserved to the extent recognized by law. This does not claim ownership of third-party components, standards or open data. User data, logos and documents remain with their owners; service operation permits necessary processing and display to authorized users without transferring ownership to the platform.</w:t>
            </w:r>
          </w:p>
        </w:tc>
        <w:tc>
          <w:tcPr>
            <w:tcW w:type="dxa" w:w="5184"/>
          </w:tcPr>
          <w:p>
            <w:pPr>
              <w:jc w:val="right"/>
              <w:bidi/>
            </w:pPr>
            <w:r>
              <w:rPr>
                <w:rFonts w:ascii="Arial" w:hAnsi="Arial"/>
                <w:b/>
                <w:rtl/>
              </w:rPr>
              <w:t>حقوق المنصة وحقوق المستخدم</w:t>
            </w:r>
          </w:p>
          <w:p>
            <w:pPr>
              <w:jc w:val="right"/>
              <w:bidi/>
            </w:pPr>
            <w:r>
              <w:rPr>
                <w:rFonts w:ascii="Arial" w:hAnsi="Arial"/>
                <w:b w:val="0"/>
                <w:rtl/>
              </w:rPr>
              <w:t>حقوق العناصر الأصلية التي يملكها صاحب المنصة، ومنها الشفرة والتصميم والمحتوى الأصلي والقوالب والهوية، محفوظة له بالقدر الذي يقره النظام. لا يشمل هذا الادعاء مكونات الغير أو المعايير أو البيانات المفتوحة. تبقى حقوق بيانات المستخدم وشعاره ومستنداته لصاحبها؛ يمنح تشغيل الخدمة الإذن اللازم لمعالجتها وعرضها للمخولين فقط، ولا ينقل ملكيتها إلى المنصة.</w:t>
            </w:r>
          </w:p>
        </w:tc>
      </w:tr>
    </w:tbl>
    <w:p>
      <w:pPr>
        <w:spacing w:after="0"/>
      </w:pP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Permitted use and reports</w:t>
            </w:r>
          </w:p>
          <w:p>
            <w:pPr>
              <w:jc w:val="left"/>
            </w:pPr>
            <w:r>
              <w:rPr>
                <w:rFonts w:ascii="Arial" w:hAnsi="Arial"/>
                <w:b w:val="0"/>
              </w:rPr>
              <w:t>Users may operate modules, save and update work, and download reports within assigned permissions. Reports may be shared for authorized work purposes while retaining platform attribution, ownership notices and supplied account or group identity, and protecting others’ data. Copying code, reselling the service, removing notices or presenting it under a misleading identity requires an appropriate license, subject to statutory rights and exceptions.</w:t>
            </w:r>
          </w:p>
        </w:tc>
        <w:tc>
          <w:tcPr>
            <w:tcW w:type="dxa" w:w="5184"/>
          </w:tcPr>
          <w:p>
            <w:pPr>
              <w:jc w:val="right"/>
              <w:bidi/>
            </w:pPr>
            <w:r>
              <w:rPr>
                <w:rFonts w:ascii="Arial" w:hAnsi="Arial"/>
                <w:b/>
                <w:rtl/>
              </w:rPr>
              <w:t>الاستخدام المسموح والتقارير</w:t>
            </w:r>
          </w:p>
          <w:p>
            <w:pPr>
              <w:jc w:val="right"/>
              <w:bidi/>
            </w:pPr>
            <w:r>
              <w:rPr>
                <w:rFonts w:ascii="Arial" w:hAnsi="Arial"/>
                <w:b w:val="0"/>
                <w:rtl/>
              </w:rPr>
              <w:t>يُسمح باستخدام النظام وحفظ الأعمال وتحديثها وتنزيل تقاريرها ضمن الصلاحيات الممنوحة. يجوز مشاركة التقرير لأغراض العمل المصرح بها مع إبقاء نسبة المنصة والحقوق وهوية الحساب أو المجموعة عند إرفاقها، وعدم كشف بيانات الآخرين. لا يجوز نسخ الشفرة أو إعادة بيع الخدمة أو إزالة الحقوق أو تقديم المنصة بهوية مضللة دون ترخيص مناسب، مع مراعاة الحقوق والاستثناءات النظامية.</w:t>
            </w:r>
          </w:p>
        </w:tc>
      </w:tr>
    </w:tbl>
    <w:p>
      <w:pPr>
        <w:spacing w:after="0"/>
      </w:pPr>
    </w:p>
    <w:tbl>
      <w:tblPr>
        <w:tblW w:type="auto" w:w="0"/>
        <w:tblLayout w:type="fixed"/>
        <w:tblLook w:firstColumn="1" w:firstRow="1" w:lastColumn="0" w:lastRow="0" w:noHBand="0" w:noVBand="1" w:val="04A0"/>
      </w:tblPr>
      <w:tblGrid>
        <w:gridCol w:w="4968"/>
        <w:gridCol w:w="4968"/>
      </w:tblGrid>
      <w:tr>
        <w:tc>
          <w:tcPr>
            <w:tcW w:type="dxa" w:w="5184"/>
          </w:tcPr>
          <w:p>
            <w:pPr>
              <w:jc w:val="left"/>
            </w:pPr>
            <w:r>
              <w:rPr>
                <w:rFonts w:ascii="Arial" w:hAnsi="Arial"/>
                <w:b/>
              </w:rPr>
              <w:t>Content and third-party components</w:t>
            </w:r>
          </w:p>
          <w:p>
            <w:pPr>
              <w:jc w:val="left"/>
            </w:pPr>
            <w:r>
              <w:rPr>
                <w:rFonts w:ascii="Arial" w:hAnsi="Arial"/>
                <w:b w:val="0"/>
              </w:rPr>
              <w:t>Users are responsible for accurate submissions and authorization to upload them. Third-party licenses and source attribution must be respected. Risk and operations reports are supporting tools, not regulatory approval or a substitute for professional review. Statutory rights remain applicable; these terms do not provide a blanket liability exemption.</w:t>
            </w:r>
          </w:p>
        </w:tc>
        <w:tc>
          <w:tcPr>
            <w:tcW w:type="dxa" w:w="5184"/>
          </w:tcPr>
          <w:p>
            <w:pPr>
              <w:jc w:val="right"/>
              <w:bidi/>
            </w:pPr>
            <w:r>
              <w:rPr>
                <w:rFonts w:ascii="Arial" w:hAnsi="Arial"/>
                <w:b/>
                <w:rtl/>
              </w:rPr>
              <w:t>المحتوى والمكونات الخارجية</w:t>
            </w:r>
          </w:p>
          <w:p>
            <w:pPr>
              <w:jc w:val="right"/>
              <w:bidi/>
            </w:pPr>
            <w:r>
              <w:rPr>
                <w:rFonts w:ascii="Arial" w:hAnsi="Arial"/>
                <w:b w:val="0"/>
                <w:rtl/>
              </w:rPr>
              <w:t>المستخدم مسؤول عن دقة مدخلاته وامتلاكه حق رفعها وعدم رفع معلومات لا يحق له استخدامها. تُحترم تراخيص البرمجيات والمصادر الخارجية. تقارير المخاطر والتشغيل أدوات مساعدة؛ لا تمثل اعتماد جهة تنظيمية أو بديلًا عن المراجعة المهنية. تُراعى الحقوق النظامية ولا تتضمن هذه الشروط إعفاءً مطلقًا من المسؤولية.</w:t>
            </w:r>
          </w:p>
        </w:tc>
      </w:tr>
    </w:tbl>
    <w:p>
      <w:pPr>
        <w:spacing w:after="0"/>
      </w:pPr>
    </w:p>
    <w:sectPr w:rsidR="00FC693F" w:rsidRPr="0006063C" w:rsidSect="00034616">
      <w:headerReference w:type="default" r:id="rId9"/>
      <w:footerReference w:type="default" r:id="rId10"/>
      <w:pgSz w:w="11952" w:h="16848"/>
      <w:pgMar w:top="864" w:right="792" w:bottom="864"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Yahya A Alzahrani 2026   —   نسخة السياسة للمستخدمين   |   Policy version R3 OWNER3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HSSE Platform   |   yahya-hsse.com   |   Policy version R3 OWNER3   |   2026-10-09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